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E2354"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3D8E15BF" w14:textId="77777777" w:rsidR="00D0162B" w:rsidRPr="00A96067" w:rsidRDefault="001A5E04" w:rsidP="00D0162B">
      <w:pPr>
        <w:jc w:val="center"/>
        <w:rPr>
          <w:rFonts w:cs="Times New Roman"/>
          <w:sz w:val="22"/>
        </w:rPr>
      </w:pPr>
      <w:r>
        <w:rPr>
          <w:rFonts w:cs="Times New Roman"/>
          <w:b/>
          <w:sz w:val="22"/>
        </w:rPr>
        <w:t>Mathematics</w:t>
      </w:r>
    </w:p>
    <w:p w14:paraId="0EE51E20" w14:textId="77777777" w:rsidR="00D0162B" w:rsidRPr="00A96067" w:rsidRDefault="00D0162B" w:rsidP="00D0162B">
      <w:pPr>
        <w:rPr>
          <w:rFonts w:cs="Times New Roman"/>
          <w:sz w:val="22"/>
        </w:rPr>
      </w:pPr>
    </w:p>
    <w:p w14:paraId="06C16E05" w14:textId="0D5D3917" w:rsidR="00A96067" w:rsidRPr="00A96067" w:rsidRDefault="00D0162B" w:rsidP="00A96067">
      <w:pPr>
        <w:rPr>
          <w:rFonts w:cs="Times New Roman"/>
          <w:i/>
          <w:sz w:val="22"/>
        </w:rPr>
      </w:pPr>
      <w:r w:rsidRPr="00A96067">
        <w:rPr>
          <w:rFonts w:cs="Times New Roman"/>
          <w:i/>
          <w:sz w:val="22"/>
        </w:rPr>
        <w:t xml:space="preserve">Courses in </w:t>
      </w:r>
      <w:r w:rsidR="001A5E04">
        <w:rPr>
          <w:rFonts w:cs="Times New Roman"/>
          <w:i/>
          <w:sz w:val="22"/>
        </w:rPr>
        <w:t>Mathematics</w:t>
      </w:r>
      <w:r w:rsidRPr="00A96067">
        <w:rPr>
          <w:rFonts w:cs="Times New Roman"/>
          <w:i/>
          <w:sz w:val="22"/>
        </w:rPr>
        <w:t xml:space="preserve"> undergo comprehensive reviews by the Faculty Senate Committee on Instruction in Spring of years ending in </w:t>
      </w:r>
      <w:r w:rsidR="00690077" w:rsidRPr="00A96067">
        <w:rPr>
          <w:rFonts w:cs="Times New Roman"/>
          <w:i/>
          <w:sz w:val="22"/>
        </w:rPr>
        <w:t>0 or 5</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4F7B25">
        <w:rPr>
          <w:rFonts w:cs="Times New Roman"/>
          <w:i/>
          <w:sz w:val="22"/>
        </w:rPr>
        <w:t>Patty Flowers</w:t>
      </w:r>
      <w:r w:rsidR="00A96067" w:rsidRPr="00A96067">
        <w:rPr>
          <w:rFonts w:cs="Times New Roman"/>
          <w:i/>
          <w:sz w:val="22"/>
        </w:rPr>
        <w:t xml:space="preserve"> (</w:t>
      </w:r>
      <w:hyperlink r:id="rId6" w:history="1">
        <w:r w:rsidR="004F7B25" w:rsidRPr="00AE5377">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45A678BA"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6C025A2A" w14:textId="77777777" w:rsidTr="00D0162B">
        <w:tc>
          <w:tcPr>
            <w:tcW w:w="985" w:type="dxa"/>
          </w:tcPr>
          <w:p w14:paraId="1E725947"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23D7CD3D" w14:textId="77777777" w:rsidR="00D0162B" w:rsidRPr="00A96067" w:rsidRDefault="00D0162B" w:rsidP="00D0162B">
            <w:pPr>
              <w:rPr>
                <w:rFonts w:cs="Times New Roman"/>
                <w:sz w:val="22"/>
              </w:rPr>
            </w:pPr>
          </w:p>
        </w:tc>
        <w:tc>
          <w:tcPr>
            <w:tcW w:w="1797" w:type="dxa"/>
            <w:vAlign w:val="center"/>
          </w:tcPr>
          <w:p w14:paraId="28E96BD6" w14:textId="77777777" w:rsidR="00D0162B" w:rsidRPr="00A96067" w:rsidRDefault="00D0162B" w:rsidP="00D0162B">
            <w:pPr>
              <w:jc w:val="right"/>
              <w:rPr>
                <w:rFonts w:cs="Times New Roman"/>
                <w:sz w:val="22"/>
              </w:rPr>
            </w:pPr>
            <w:r w:rsidRPr="00A96067">
              <w:rPr>
                <w:rFonts w:cs="Times New Roman"/>
                <w:sz w:val="22"/>
              </w:rPr>
              <w:t>Date Submitted:</w:t>
            </w:r>
          </w:p>
        </w:tc>
        <w:tc>
          <w:tcPr>
            <w:tcW w:w="2338" w:type="dxa"/>
            <w:tcBorders>
              <w:bottom w:val="single" w:sz="4" w:space="0" w:color="auto"/>
            </w:tcBorders>
          </w:tcPr>
          <w:p w14:paraId="1DDABFF2" w14:textId="77777777" w:rsidR="00D0162B" w:rsidRPr="00A96067" w:rsidRDefault="00D0162B" w:rsidP="00D0162B">
            <w:pPr>
              <w:rPr>
                <w:rFonts w:cs="Times New Roman"/>
                <w:sz w:val="22"/>
              </w:rPr>
            </w:pPr>
          </w:p>
        </w:tc>
      </w:tr>
      <w:tr w:rsidR="00D0162B" w:rsidRPr="00A96067" w14:paraId="021F99EB" w14:textId="77777777" w:rsidTr="00D0162B">
        <w:tc>
          <w:tcPr>
            <w:tcW w:w="1435" w:type="dxa"/>
            <w:gridSpan w:val="2"/>
          </w:tcPr>
          <w:p w14:paraId="3149E064" w14:textId="77777777" w:rsidR="009474BD" w:rsidRPr="00A96067" w:rsidRDefault="009474BD" w:rsidP="00D0162B">
            <w:pPr>
              <w:rPr>
                <w:rFonts w:cs="Times New Roman"/>
                <w:sz w:val="22"/>
              </w:rPr>
            </w:pPr>
          </w:p>
          <w:p w14:paraId="7A321BCA"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6F610ED0" w14:textId="77777777" w:rsidR="00D0162B" w:rsidRPr="00A96067" w:rsidRDefault="00D0162B" w:rsidP="00D0162B">
            <w:pPr>
              <w:rPr>
                <w:rFonts w:cs="Times New Roman"/>
                <w:sz w:val="22"/>
              </w:rPr>
            </w:pPr>
          </w:p>
        </w:tc>
        <w:tc>
          <w:tcPr>
            <w:tcW w:w="1797" w:type="dxa"/>
            <w:vAlign w:val="center"/>
          </w:tcPr>
          <w:p w14:paraId="79823A45" w14:textId="77777777" w:rsidR="009474BD" w:rsidRPr="00A96067" w:rsidRDefault="009474BD" w:rsidP="00D0162B">
            <w:pPr>
              <w:jc w:val="right"/>
              <w:rPr>
                <w:rFonts w:cs="Times New Roman"/>
                <w:sz w:val="22"/>
              </w:rPr>
            </w:pPr>
          </w:p>
          <w:p w14:paraId="14025AE3" w14:textId="77777777" w:rsidR="00D0162B" w:rsidRPr="00A96067" w:rsidRDefault="00D0162B" w:rsidP="00D0162B">
            <w:pPr>
              <w:jc w:val="right"/>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396566A5" w14:textId="77777777" w:rsidR="00D0162B" w:rsidRPr="00A96067" w:rsidRDefault="00D0162B" w:rsidP="00D0162B">
            <w:pPr>
              <w:rPr>
                <w:rFonts w:cs="Times New Roman"/>
                <w:sz w:val="22"/>
              </w:rPr>
            </w:pPr>
          </w:p>
        </w:tc>
      </w:tr>
    </w:tbl>
    <w:p w14:paraId="116074E9" w14:textId="77777777" w:rsidR="00D0162B" w:rsidRPr="00A96067" w:rsidRDefault="00D0162B" w:rsidP="009474BD">
      <w:pPr>
        <w:rPr>
          <w:rFonts w:cs="Times New Roman"/>
          <w:sz w:val="22"/>
        </w:rPr>
      </w:pPr>
    </w:p>
    <w:p w14:paraId="3C71CC63" w14:textId="77777777" w:rsidR="00690077" w:rsidRPr="00A9606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1A5E04">
        <w:rPr>
          <w:rFonts w:cs="Times New Roman"/>
          <w:b/>
          <w:sz w:val="22"/>
        </w:rPr>
        <w:t>Mathematics</w:t>
      </w:r>
      <w:r w:rsidRPr="00A96067">
        <w:rPr>
          <w:rFonts w:cs="Times New Roman"/>
          <w:b/>
          <w:sz w:val="22"/>
        </w:rPr>
        <w:t xml:space="preserve">. </w:t>
      </w:r>
      <w:r w:rsidR="00690077" w:rsidRPr="00A96067">
        <w:rPr>
          <w:rFonts w:cs="Times New Roman"/>
          <w:b/>
          <w:sz w:val="22"/>
        </w:rPr>
        <w:t xml:space="preserve"> The first table lists outcomes through the 2017-18 academic year. The second table lists the outcomes effective </w:t>
      </w:r>
      <w:r w:rsidR="00F22DE3" w:rsidRPr="00A96067">
        <w:rPr>
          <w:rFonts w:cs="Times New Roman"/>
          <w:b/>
          <w:sz w:val="22"/>
        </w:rPr>
        <w:t>with the</w:t>
      </w:r>
      <w:r w:rsidR="00690077" w:rsidRPr="00A96067">
        <w:rPr>
          <w:rFonts w:cs="Times New Roman"/>
          <w:b/>
          <w:sz w:val="22"/>
        </w:rPr>
        <w:t xml:space="preserve"> 2018-19</w:t>
      </w:r>
      <w:r w:rsidR="00E7612A">
        <w:rPr>
          <w:rFonts w:cs="Times New Roman"/>
          <w:b/>
          <w:sz w:val="22"/>
        </w:rPr>
        <w:t xml:space="preserve"> academic year</w:t>
      </w:r>
      <w:r w:rsidR="00690077" w:rsidRPr="00A96067">
        <w:rPr>
          <w:rFonts w:cs="Times New Roman"/>
          <w:b/>
          <w:sz w:val="22"/>
        </w:rPr>
        <w:t xml:space="preserve">. In some cases, departments may have chosen to </w:t>
      </w:r>
      <w:r w:rsidR="00F22DE3" w:rsidRPr="00A96067">
        <w:rPr>
          <w:rFonts w:cs="Times New Roman"/>
          <w:b/>
          <w:sz w:val="22"/>
        </w:rPr>
        <w:t>assess</w:t>
      </w:r>
      <w:r w:rsidR="00690077" w:rsidRPr="00A96067">
        <w:rPr>
          <w:rFonts w:cs="Times New Roman"/>
          <w:b/>
          <w:sz w:val="22"/>
        </w:rPr>
        <w:t xml:space="preserve"> the newer outcomes in 2017-18.</w:t>
      </w:r>
    </w:p>
    <w:p w14:paraId="74BAD637" w14:textId="77777777" w:rsidR="00690077" w:rsidRPr="00A96067" w:rsidRDefault="00690077" w:rsidP="00D0162B">
      <w:pPr>
        <w:rPr>
          <w:rFonts w:cs="Times New Roman"/>
          <w:b/>
          <w:sz w:val="22"/>
        </w:rPr>
      </w:pPr>
    </w:p>
    <w:p w14:paraId="3EB8FD88"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59E3267E" w14:textId="77777777" w:rsidR="00D0162B" w:rsidRPr="00A96067" w:rsidRDefault="00D0162B" w:rsidP="00D0162B">
      <w:pPr>
        <w:rPr>
          <w:rFonts w:cs="Times New Roman"/>
          <w:sz w:val="22"/>
        </w:rPr>
      </w:pPr>
    </w:p>
    <w:p w14:paraId="17E9F000" w14:textId="77777777" w:rsidR="00D0162B" w:rsidRPr="00A96067" w:rsidRDefault="00D0162B" w:rsidP="00D0162B">
      <w:pPr>
        <w:rPr>
          <w:rFonts w:cs="Times New Roman"/>
          <w:sz w:val="22"/>
        </w:rPr>
      </w:pPr>
    </w:p>
    <w:p w14:paraId="04A8FBC2" w14:textId="77777777" w:rsidR="00F22DE3" w:rsidRPr="00A96067" w:rsidRDefault="00F22DE3" w:rsidP="00D0162B">
      <w:pPr>
        <w:rPr>
          <w:rFonts w:cs="Times New Roman"/>
          <w:sz w:val="22"/>
        </w:rPr>
      </w:pPr>
    </w:p>
    <w:tbl>
      <w:tblPr>
        <w:tblStyle w:val="TableGrid"/>
        <w:tblW w:w="9350" w:type="dxa"/>
        <w:tblLook w:val="04A0" w:firstRow="1" w:lastRow="0" w:firstColumn="1" w:lastColumn="0" w:noHBand="0" w:noVBand="1"/>
      </w:tblPr>
      <w:tblGrid>
        <w:gridCol w:w="5342"/>
        <w:gridCol w:w="915"/>
        <w:gridCol w:w="795"/>
        <w:gridCol w:w="766"/>
        <w:gridCol w:w="766"/>
        <w:gridCol w:w="766"/>
      </w:tblGrid>
      <w:tr w:rsidR="004F7B25" w:rsidRPr="00A96067" w14:paraId="41547EAE" w14:textId="10BC0D4D" w:rsidTr="00090616">
        <w:trPr>
          <w:trHeight w:val="255"/>
        </w:trPr>
        <w:tc>
          <w:tcPr>
            <w:tcW w:w="5401" w:type="dxa"/>
            <w:vMerge w:val="restart"/>
            <w:shd w:val="clear" w:color="auto" w:fill="DEEAF6" w:themeFill="accent1" w:themeFillTint="33"/>
            <w:vAlign w:val="center"/>
          </w:tcPr>
          <w:p w14:paraId="61CEE717" w14:textId="77777777" w:rsidR="004F7B25" w:rsidRPr="00A96067" w:rsidRDefault="004F7B25" w:rsidP="00F22DE3">
            <w:pPr>
              <w:jc w:val="center"/>
              <w:rPr>
                <w:rFonts w:cs="Times New Roman"/>
                <w:b/>
                <w:sz w:val="22"/>
              </w:rPr>
            </w:pPr>
            <w:r w:rsidRPr="00A96067">
              <w:rPr>
                <w:rFonts w:cs="Times New Roman"/>
                <w:b/>
                <w:sz w:val="22"/>
              </w:rPr>
              <w:t>Outcome (beginning with 2018-19 catalog)</w:t>
            </w:r>
          </w:p>
        </w:tc>
        <w:tc>
          <w:tcPr>
            <w:tcW w:w="3949" w:type="dxa"/>
            <w:gridSpan w:val="5"/>
            <w:shd w:val="clear" w:color="auto" w:fill="DEEAF6" w:themeFill="accent1" w:themeFillTint="33"/>
            <w:vAlign w:val="center"/>
          </w:tcPr>
          <w:p w14:paraId="19570776" w14:textId="379965E8" w:rsidR="004F7B25" w:rsidRPr="00A96067" w:rsidRDefault="004F7B25" w:rsidP="00232665">
            <w:pPr>
              <w:jc w:val="center"/>
              <w:rPr>
                <w:rFonts w:cs="Times New Roman"/>
                <w:b/>
                <w:sz w:val="22"/>
              </w:rPr>
            </w:pPr>
            <w:r w:rsidRPr="00A96067">
              <w:rPr>
                <w:rFonts w:cs="Times New Roman"/>
                <w:b/>
                <w:sz w:val="22"/>
              </w:rPr>
              <w:t>Results from:</w:t>
            </w:r>
          </w:p>
        </w:tc>
      </w:tr>
      <w:tr w:rsidR="004F7B25" w:rsidRPr="00A96067" w14:paraId="20D45794" w14:textId="3AC5EE18" w:rsidTr="004F7B25">
        <w:trPr>
          <w:trHeight w:val="255"/>
        </w:trPr>
        <w:tc>
          <w:tcPr>
            <w:tcW w:w="5401" w:type="dxa"/>
            <w:vMerge/>
            <w:shd w:val="clear" w:color="auto" w:fill="DEEAF6" w:themeFill="accent1" w:themeFillTint="33"/>
            <w:vAlign w:val="center"/>
          </w:tcPr>
          <w:p w14:paraId="618CAEDA" w14:textId="77777777" w:rsidR="004F7B25" w:rsidRPr="00A96067" w:rsidRDefault="004F7B25" w:rsidP="00232665">
            <w:pPr>
              <w:jc w:val="center"/>
              <w:rPr>
                <w:rFonts w:cs="Times New Roman"/>
                <w:b/>
                <w:sz w:val="22"/>
              </w:rPr>
            </w:pPr>
          </w:p>
        </w:tc>
        <w:tc>
          <w:tcPr>
            <w:tcW w:w="918" w:type="dxa"/>
            <w:shd w:val="clear" w:color="auto" w:fill="DEEAF6" w:themeFill="accent1" w:themeFillTint="33"/>
            <w:vAlign w:val="center"/>
          </w:tcPr>
          <w:p w14:paraId="6D1CD2A2" w14:textId="7E9FBD91" w:rsidR="004F7B25" w:rsidRPr="00A96067" w:rsidRDefault="004F7B25" w:rsidP="00232665">
            <w:pPr>
              <w:jc w:val="center"/>
              <w:rPr>
                <w:rFonts w:cs="Times New Roman"/>
                <w:b/>
                <w:sz w:val="22"/>
              </w:rPr>
            </w:pPr>
            <w:r w:rsidRPr="00A96067">
              <w:rPr>
                <w:rFonts w:cs="Times New Roman"/>
                <w:b/>
                <w:sz w:val="22"/>
              </w:rPr>
              <w:t xml:space="preserve">2017-18 </w:t>
            </w:r>
          </w:p>
        </w:tc>
        <w:tc>
          <w:tcPr>
            <w:tcW w:w="796" w:type="dxa"/>
            <w:shd w:val="clear" w:color="auto" w:fill="DEEAF6" w:themeFill="accent1" w:themeFillTint="33"/>
            <w:vAlign w:val="center"/>
          </w:tcPr>
          <w:p w14:paraId="05C99135" w14:textId="77777777" w:rsidR="004F7B25" w:rsidRPr="00A96067" w:rsidRDefault="004F7B25" w:rsidP="00232665">
            <w:pPr>
              <w:jc w:val="center"/>
              <w:rPr>
                <w:rFonts w:cs="Times New Roman"/>
                <w:b/>
                <w:sz w:val="22"/>
              </w:rPr>
            </w:pPr>
            <w:r w:rsidRPr="00A96067">
              <w:rPr>
                <w:rFonts w:cs="Times New Roman"/>
                <w:b/>
                <w:sz w:val="22"/>
              </w:rPr>
              <w:t>2018-19</w:t>
            </w:r>
          </w:p>
        </w:tc>
        <w:tc>
          <w:tcPr>
            <w:tcW w:w="745" w:type="dxa"/>
            <w:shd w:val="clear" w:color="auto" w:fill="DEEAF6" w:themeFill="accent1" w:themeFillTint="33"/>
          </w:tcPr>
          <w:p w14:paraId="2F89ECCA" w14:textId="3E5EDE17" w:rsidR="004F7B25" w:rsidRPr="00A96067" w:rsidRDefault="004F7B25" w:rsidP="00232665">
            <w:pPr>
              <w:jc w:val="center"/>
              <w:rPr>
                <w:rFonts w:cs="Times New Roman"/>
                <w:b/>
                <w:sz w:val="22"/>
              </w:rPr>
            </w:pPr>
            <w:r>
              <w:rPr>
                <w:rFonts w:cs="Times New Roman"/>
                <w:b/>
                <w:sz w:val="22"/>
              </w:rPr>
              <w:t>2</w:t>
            </w:r>
            <w:r>
              <w:rPr>
                <w:b/>
              </w:rPr>
              <w:t>019-20</w:t>
            </w:r>
          </w:p>
        </w:tc>
        <w:tc>
          <w:tcPr>
            <w:tcW w:w="745" w:type="dxa"/>
            <w:shd w:val="clear" w:color="auto" w:fill="DEEAF6" w:themeFill="accent1" w:themeFillTint="33"/>
          </w:tcPr>
          <w:p w14:paraId="52596419" w14:textId="4FE413FA" w:rsidR="004F7B25" w:rsidRPr="00A96067" w:rsidRDefault="004F7B25" w:rsidP="00232665">
            <w:pPr>
              <w:jc w:val="center"/>
              <w:rPr>
                <w:rFonts w:cs="Times New Roman"/>
                <w:b/>
                <w:sz w:val="22"/>
              </w:rPr>
            </w:pPr>
            <w:r>
              <w:rPr>
                <w:rFonts w:cs="Times New Roman"/>
                <w:b/>
                <w:sz w:val="22"/>
              </w:rPr>
              <w:t>2</w:t>
            </w:r>
            <w:r>
              <w:rPr>
                <w:b/>
              </w:rPr>
              <w:t>020-21</w:t>
            </w:r>
          </w:p>
        </w:tc>
        <w:tc>
          <w:tcPr>
            <w:tcW w:w="745" w:type="dxa"/>
            <w:shd w:val="clear" w:color="auto" w:fill="DEEAF6" w:themeFill="accent1" w:themeFillTint="33"/>
          </w:tcPr>
          <w:p w14:paraId="564BD959" w14:textId="12CA587B" w:rsidR="004F7B25" w:rsidRPr="00A96067" w:rsidRDefault="004F7B25" w:rsidP="00232665">
            <w:pPr>
              <w:jc w:val="center"/>
              <w:rPr>
                <w:rFonts w:cs="Times New Roman"/>
                <w:b/>
                <w:sz w:val="22"/>
              </w:rPr>
            </w:pPr>
            <w:r>
              <w:rPr>
                <w:rFonts w:cs="Times New Roman"/>
                <w:b/>
                <w:sz w:val="22"/>
              </w:rPr>
              <w:t>2</w:t>
            </w:r>
            <w:r>
              <w:rPr>
                <w:b/>
              </w:rPr>
              <w:t>021-22</w:t>
            </w:r>
          </w:p>
        </w:tc>
      </w:tr>
      <w:tr w:rsidR="004F7B25" w:rsidRPr="00A96067" w14:paraId="7C6EE425" w14:textId="36DE01E0" w:rsidTr="004F7B25">
        <w:trPr>
          <w:trHeight w:val="495"/>
        </w:trPr>
        <w:tc>
          <w:tcPr>
            <w:tcW w:w="5401" w:type="dxa"/>
          </w:tcPr>
          <w:p w14:paraId="0D307A85" w14:textId="77777777" w:rsidR="004F7B25" w:rsidRPr="00F654A8" w:rsidRDefault="004F7B25" w:rsidP="00232665">
            <w:pPr>
              <w:ind w:left="156" w:hanging="156"/>
              <w:rPr>
                <w:rFonts w:cs="Times New Roman"/>
                <w:sz w:val="22"/>
              </w:rPr>
            </w:pPr>
            <w:r w:rsidRPr="00F654A8">
              <w:rPr>
                <w:rFonts w:cs="Garamond BookCondensed"/>
                <w:color w:val="211D1E"/>
                <w:sz w:val="22"/>
              </w:rPr>
              <w:t>1. Students will use appropriate notation and vocabulary to communicate mathematics.</w:t>
            </w:r>
          </w:p>
        </w:tc>
        <w:tc>
          <w:tcPr>
            <w:tcW w:w="918" w:type="dxa"/>
          </w:tcPr>
          <w:p w14:paraId="17D90B2C" w14:textId="77777777" w:rsidR="004F7B25" w:rsidRPr="00A96067" w:rsidRDefault="004F7B25" w:rsidP="00232665">
            <w:pPr>
              <w:rPr>
                <w:rFonts w:cs="Times New Roman"/>
                <w:sz w:val="22"/>
              </w:rPr>
            </w:pPr>
          </w:p>
        </w:tc>
        <w:tc>
          <w:tcPr>
            <w:tcW w:w="796" w:type="dxa"/>
          </w:tcPr>
          <w:p w14:paraId="7C8E5C11" w14:textId="77777777" w:rsidR="004F7B25" w:rsidRPr="00A96067" w:rsidRDefault="004F7B25" w:rsidP="00232665">
            <w:pPr>
              <w:rPr>
                <w:rFonts w:cs="Times New Roman"/>
                <w:sz w:val="22"/>
              </w:rPr>
            </w:pPr>
          </w:p>
        </w:tc>
        <w:tc>
          <w:tcPr>
            <w:tcW w:w="745" w:type="dxa"/>
          </w:tcPr>
          <w:p w14:paraId="18CC234F" w14:textId="77777777" w:rsidR="004F7B25" w:rsidRPr="00A96067" w:rsidRDefault="004F7B25" w:rsidP="00232665">
            <w:pPr>
              <w:rPr>
                <w:rFonts w:cs="Times New Roman"/>
                <w:sz w:val="22"/>
              </w:rPr>
            </w:pPr>
          </w:p>
        </w:tc>
        <w:tc>
          <w:tcPr>
            <w:tcW w:w="745" w:type="dxa"/>
          </w:tcPr>
          <w:p w14:paraId="29609031" w14:textId="77777777" w:rsidR="004F7B25" w:rsidRPr="00A96067" w:rsidRDefault="004F7B25" w:rsidP="00232665">
            <w:pPr>
              <w:rPr>
                <w:rFonts w:cs="Times New Roman"/>
                <w:sz w:val="22"/>
              </w:rPr>
            </w:pPr>
          </w:p>
        </w:tc>
        <w:tc>
          <w:tcPr>
            <w:tcW w:w="745" w:type="dxa"/>
          </w:tcPr>
          <w:p w14:paraId="7DFAC058" w14:textId="77777777" w:rsidR="004F7B25" w:rsidRPr="00A96067" w:rsidRDefault="004F7B25" w:rsidP="00232665">
            <w:pPr>
              <w:rPr>
                <w:rFonts w:cs="Times New Roman"/>
                <w:sz w:val="22"/>
              </w:rPr>
            </w:pPr>
          </w:p>
        </w:tc>
      </w:tr>
      <w:tr w:rsidR="004F7B25" w:rsidRPr="00A96067" w14:paraId="256BB15B" w14:textId="17B1E53C" w:rsidTr="004F7B25">
        <w:trPr>
          <w:trHeight w:val="255"/>
        </w:trPr>
        <w:tc>
          <w:tcPr>
            <w:tcW w:w="5401" w:type="dxa"/>
          </w:tcPr>
          <w:p w14:paraId="453355E7" w14:textId="77777777" w:rsidR="004F7B25" w:rsidRPr="00F654A8" w:rsidRDefault="004F7B25" w:rsidP="00232665">
            <w:pPr>
              <w:ind w:left="156" w:hanging="156"/>
              <w:rPr>
                <w:rFonts w:cs="Times New Roman"/>
                <w:sz w:val="22"/>
              </w:rPr>
            </w:pPr>
            <w:r w:rsidRPr="00F654A8">
              <w:rPr>
                <w:rFonts w:cs="Garamond BookCondensed"/>
                <w:color w:val="211D1E"/>
                <w:sz w:val="22"/>
              </w:rPr>
              <w:t>2. Students will use symbolic and numerical methods to perform calculations.</w:t>
            </w:r>
          </w:p>
        </w:tc>
        <w:tc>
          <w:tcPr>
            <w:tcW w:w="918" w:type="dxa"/>
          </w:tcPr>
          <w:p w14:paraId="5D735F80" w14:textId="77777777" w:rsidR="004F7B25" w:rsidRPr="00A96067" w:rsidRDefault="004F7B25" w:rsidP="00232665">
            <w:pPr>
              <w:rPr>
                <w:rFonts w:cs="Times New Roman"/>
                <w:sz w:val="22"/>
              </w:rPr>
            </w:pPr>
          </w:p>
        </w:tc>
        <w:tc>
          <w:tcPr>
            <w:tcW w:w="796" w:type="dxa"/>
          </w:tcPr>
          <w:p w14:paraId="2E239083" w14:textId="77777777" w:rsidR="004F7B25" w:rsidRPr="00A96067" w:rsidRDefault="004F7B25" w:rsidP="00232665">
            <w:pPr>
              <w:rPr>
                <w:rFonts w:cs="Times New Roman"/>
                <w:sz w:val="22"/>
              </w:rPr>
            </w:pPr>
          </w:p>
        </w:tc>
        <w:tc>
          <w:tcPr>
            <w:tcW w:w="745" w:type="dxa"/>
          </w:tcPr>
          <w:p w14:paraId="61CC1633" w14:textId="77777777" w:rsidR="004F7B25" w:rsidRPr="00A96067" w:rsidRDefault="004F7B25" w:rsidP="00232665">
            <w:pPr>
              <w:rPr>
                <w:rFonts w:cs="Times New Roman"/>
                <w:sz w:val="22"/>
              </w:rPr>
            </w:pPr>
          </w:p>
        </w:tc>
        <w:tc>
          <w:tcPr>
            <w:tcW w:w="745" w:type="dxa"/>
          </w:tcPr>
          <w:p w14:paraId="27ABA4B5" w14:textId="77777777" w:rsidR="004F7B25" w:rsidRPr="00A96067" w:rsidRDefault="004F7B25" w:rsidP="00232665">
            <w:pPr>
              <w:rPr>
                <w:rFonts w:cs="Times New Roman"/>
                <w:sz w:val="22"/>
              </w:rPr>
            </w:pPr>
          </w:p>
        </w:tc>
        <w:tc>
          <w:tcPr>
            <w:tcW w:w="745" w:type="dxa"/>
          </w:tcPr>
          <w:p w14:paraId="1EB3EC9D" w14:textId="77777777" w:rsidR="004F7B25" w:rsidRPr="00A96067" w:rsidRDefault="004F7B25" w:rsidP="00232665">
            <w:pPr>
              <w:rPr>
                <w:rFonts w:cs="Times New Roman"/>
                <w:sz w:val="22"/>
              </w:rPr>
            </w:pPr>
          </w:p>
        </w:tc>
      </w:tr>
      <w:tr w:rsidR="004F7B25" w:rsidRPr="00A96067" w14:paraId="7E49E117" w14:textId="77891740" w:rsidTr="004F7B25">
        <w:trPr>
          <w:trHeight w:val="240"/>
        </w:trPr>
        <w:tc>
          <w:tcPr>
            <w:tcW w:w="5401" w:type="dxa"/>
          </w:tcPr>
          <w:p w14:paraId="2F7FB9A4" w14:textId="77777777" w:rsidR="004F7B25" w:rsidRPr="00F654A8" w:rsidRDefault="004F7B25" w:rsidP="00232665">
            <w:pPr>
              <w:ind w:left="156" w:hanging="156"/>
              <w:rPr>
                <w:rFonts w:cs="Garamond BookCondensed"/>
                <w:color w:val="211D1E"/>
                <w:sz w:val="22"/>
              </w:rPr>
            </w:pPr>
            <w:r w:rsidRPr="00F654A8">
              <w:rPr>
                <w:rFonts w:cs="Garamond BookCondensed"/>
                <w:color w:val="211D1E"/>
                <w:sz w:val="22"/>
              </w:rPr>
              <w:t>3. Students will solve problems with real-world applications.</w:t>
            </w:r>
          </w:p>
        </w:tc>
        <w:tc>
          <w:tcPr>
            <w:tcW w:w="918" w:type="dxa"/>
          </w:tcPr>
          <w:p w14:paraId="52018A4A" w14:textId="77777777" w:rsidR="004F7B25" w:rsidRPr="00A96067" w:rsidRDefault="004F7B25" w:rsidP="00232665">
            <w:pPr>
              <w:rPr>
                <w:rFonts w:cs="Times New Roman"/>
                <w:sz w:val="22"/>
              </w:rPr>
            </w:pPr>
          </w:p>
        </w:tc>
        <w:tc>
          <w:tcPr>
            <w:tcW w:w="796" w:type="dxa"/>
          </w:tcPr>
          <w:p w14:paraId="20231E30" w14:textId="77777777" w:rsidR="004F7B25" w:rsidRPr="00A96067" w:rsidRDefault="004F7B25" w:rsidP="00232665">
            <w:pPr>
              <w:rPr>
                <w:rFonts w:cs="Times New Roman"/>
                <w:sz w:val="22"/>
              </w:rPr>
            </w:pPr>
          </w:p>
        </w:tc>
        <w:tc>
          <w:tcPr>
            <w:tcW w:w="745" w:type="dxa"/>
          </w:tcPr>
          <w:p w14:paraId="5F456B15" w14:textId="77777777" w:rsidR="004F7B25" w:rsidRPr="00A96067" w:rsidRDefault="004F7B25" w:rsidP="00232665">
            <w:pPr>
              <w:rPr>
                <w:rFonts w:cs="Times New Roman"/>
                <w:sz w:val="22"/>
              </w:rPr>
            </w:pPr>
          </w:p>
        </w:tc>
        <w:tc>
          <w:tcPr>
            <w:tcW w:w="745" w:type="dxa"/>
          </w:tcPr>
          <w:p w14:paraId="21A4CFD3" w14:textId="77777777" w:rsidR="004F7B25" w:rsidRPr="00A96067" w:rsidRDefault="004F7B25" w:rsidP="00232665">
            <w:pPr>
              <w:rPr>
                <w:rFonts w:cs="Times New Roman"/>
                <w:sz w:val="22"/>
              </w:rPr>
            </w:pPr>
          </w:p>
        </w:tc>
        <w:tc>
          <w:tcPr>
            <w:tcW w:w="745" w:type="dxa"/>
          </w:tcPr>
          <w:p w14:paraId="614DF8BF" w14:textId="77777777" w:rsidR="004F7B25" w:rsidRPr="00A96067" w:rsidRDefault="004F7B25" w:rsidP="00232665">
            <w:pPr>
              <w:rPr>
                <w:rFonts w:cs="Times New Roman"/>
                <w:sz w:val="22"/>
              </w:rPr>
            </w:pPr>
          </w:p>
        </w:tc>
      </w:tr>
    </w:tbl>
    <w:p w14:paraId="2CAC1B75" w14:textId="77777777" w:rsidR="004F7B25" w:rsidRDefault="004F7B25" w:rsidP="007D3A1D">
      <w:pPr>
        <w:rPr>
          <w:rFonts w:cs="Times New Roman"/>
          <w:b/>
          <w:sz w:val="22"/>
        </w:rPr>
      </w:pPr>
    </w:p>
    <w:p w14:paraId="3CCBD0A7" w14:textId="77777777" w:rsidR="004F7B25" w:rsidRDefault="004F7B25" w:rsidP="007D3A1D">
      <w:pPr>
        <w:rPr>
          <w:rFonts w:cs="Times New Roman"/>
          <w:b/>
          <w:sz w:val="22"/>
        </w:rPr>
      </w:pPr>
    </w:p>
    <w:p w14:paraId="7D1A8CFD" w14:textId="77777777" w:rsidR="004F7B25" w:rsidRDefault="004F7B25">
      <w:pPr>
        <w:rPr>
          <w:rFonts w:cs="Times New Roman"/>
          <w:b/>
          <w:sz w:val="22"/>
        </w:rPr>
      </w:pPr>
      <w:r>
        <w:rPr>
          <w:rFonts w:cs="Times New Roman"/>
          <w:b/>
          <w:sz w:val="22"/>
        </w:rPr>
        <w:br w:type="page"/>
      </w:r>
    </w:p>
    <w:p w14:paraId="734D1E65" w14:textId="721079B8" w:rsidR="00D941C1" w:rsidRPr="00A96067" w:rsidRDefault="00A96067" w:rsidP="007D3A1D">
      <w:pPr>
        <w:rPr>
          <w:rFonts w:cs="Times New Roman"/>
          <w:b/>
          <w:sz w:val="22"/>
        </w:rPr>
      </w:pPr>
      <w:r w:rsidRPr="00A96067">
        <w:rPr>
          <w:rFonts w:cs="Times New Roman"/>
          <w:b/>
          <w:sz w:val="22"/>
        </w:rPr>
        <w:lastRenderedPageBreak/>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70941062"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33FFD6B0" w14:textId="77777777" w:rsidTr="00F75B66">
        <w:trPr>
          <w:trHeight w:val="4752"/>
        </w:trPr>
        <w:tc>
          <w:tcPr>
            <w:tcW w:w="9350" w:type="dxa"/>
          </w:tcPr>
          <w:p w14:paraId="7B457E01" w14:textId="77777777" w:rsidR="00D941C1" w:rsidRPr="00A96067" w:rsidRDefault="00D941C1" w:rsidP="007D3A1D">
            <w:pPr>
              <w:rPr>
                <w:rFonts w:cs="Times New Roman"/>
                <w:sz w:val="22"/>
              </w:rPr>
            </w:pPr>
          </w:p>
        </w:tc>
      </w:tr>
    </w:tbl>
    <w:p w14:paraId="78DBEE2F" w14:textId="77777777" w:rsidR="006912FB" w:rsidRPr="00A96067" w:rsidRDefault="006912FB" w:rsidP="007D3A1D">
      <w:pPr>
        <w:rPr>
          <w:rFonts w:cs="Times New Roman"/>
          <w:sz w:val="22"/>
        </w:rPr>
      </w:pPr>
    </w:p>
    <w:p w14:paraId="284D6F85" w14:textId="38087D65"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4F7B25">
        <w:rPr>
          <w:rFonts w:cs="Times New Roman"/>
          <w:b/>
          <w:sz w:val="22"/>
        </w:rPr>
        <w:t>Patty Flowers</w:t>
      </w:r>
      <w:r w:rsidRPr="00A96067">
        <w:rPr>
          <w:rFonts w:cs="Times New Roman"/>
          <w:b/>
          <w:sz w:val="22"/>
        </w:rPr>
        <w:t xml:space="preserve"> (</w:t>
      </w:r>
      <w:hyperlink r:id="rId7" w:history="1">
        <w:r w:rsidR="004F7B25">
          <w:rPr>
            <w:rStyle w:val="Hyperlink"/>
            <w:rFonts w:cs="Times New Roman"/>
            <w:b/>
            <w:sz w:val="22"/>
          </w:rPr>
          <w:t>pflowers</w:t>
        </w:r>
        <w:r w:rsidRPr="00A96067">
          <w:rPr>
            <w:rStyle w:val="Hyperlink"/>
            <w:rFonts w:cs="Times New Roman"/>
            <w:b/>
            <w:sz w:val="22"/>
          </w:rPr>
          <w:t>@utm.edu</w:t>
        </w:r>
      </w:hyperlink>
      <w:r w:rsidRPr="00A96067">
        <w:rPr>
          <w:rFonts w:cs="Times New Roman"/>
          <w:b/>
          <w:sz w:val="22"/>
        </w:rPr>
        <w:t>) by January 31 of the review year.</w:t>
      </w:r>
    </w:p>
    <w:p w14:paraId="3DBC1144" w14:textId="77777777" w:rsidR="006912FB" w:rsidRPr="00A96067" w:rsidRDefault="006912FB" w:rsidP="007D3A1D">
      <w:pPr>
        <w:rPr>
          <w:rFonts w:cs="Times New Roman"/>
          <w:sz w:val="22"/>
        </w:rPr>
      </w:pPr>
    </w:p>
    <w:sectPr w:rsidR="006912FB" w:rsidRPr="00A96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C6DB6" w14:textId="77777777" w:rsidR="00555280" w:rsidRDefault="00555280" w:rsidP="00F22DE3">
      <w:r>
        <w:separator/>
      </w:r>
    </w:p>
  </w:endnote>
  <w:endnote w:type="continuationSeparator" w:id="0">
    <w:p w14:paraId="6EEA95CB" w14:textId="77777777" w:rsidR="00555280" w:rsidRDefault="00555280"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380196"/>
      <w:docPartObj>
        <w:docPartGallery w:val="Page Numbers (Bottom of Page)"/>
        <w:docPartUnique/>
      </w:docPartObj>
    </w:sdtPr>
    <w:sdtEndPr/>
    <w:sdtContent>
      <w:sdt>
        <w:sdtPr>
          <w:id w:val="-1769616900"/>
          <w:docPartObj>
            <w:docPartGallery w:val="Page Numbers (Top of Page)"/>
            <w:docPartUnique/>
          </w:docPartObj>
        </w:sdtPr>
        <w:sdtEndPr/>
        <w:sdtContent>
          <w:p w14:paraId="718EA89B"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7612A">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7612A">
              <w:rPr>
                <w:b/>
                <w:bCs/>
                <w:noProof/>
              </w:rPr>
              <w:t>2</w:t>
            </w:r>
            <w:r>
              <w:rPr>
                <w:b/>
                <w:bCs/>
                <w:szCs w:val="24"/>
              </w:rPr>
              <w:fldChar w:fldCharType="end"/>
            </w:r>
          </w:p>
        </w:sdtContent>
      </w:sdt>
    </w:sdtContent>
  </w:sdt>
  <w:p w14:paraId="08E72E6F"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947F5" w14:textId="77777777" w:rsidR="00555280" w:rsidRDefault="00555280" w:rsidP="00F22DE3">
      <w:r>
        <w:separator/>
      </w:r>
    </w:p>
  </w:footnote>
  <w:footnote w:type="continuationSeparator" w:id="0">
    <w:p w14:paraId="38F3FABF" w14:textId="77777777" w:rsidR="00555280" w:rsidRDefault="00555280"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A5E04"/>
    <w:rsid w:val="001B26B0"/>
    <w:rsid w:val="00277F60"/>
    <w:rsid w:val="0028776F"/>
    <w:rsid w:val="002B58BD"/>
    <w:rsid w:val="00307662"/>
    <w:rsid w:val="004F7B25"/>
    <w:rsid w:val="00555280"/>
    <w:rsid w:val="00690077"/>
    <w:rsid w:val="006912FB"/>
    <w:rsid w:val="006A01DA"/>
    <w:rsid w:val="006D702F"/>
    <w:rsid w:val="007D3A1D"/>
    <w:rsid w:val="008F1483"/>
    <w:rsid w:val="009474BD"/>
    <w:rsid w:val="009B3B9A"/>
    <w:rsid w:val="00A2543F"/>
    <w:rsid w:val="00A96067"/>
    <w:rsid w:val="00AD6E23"/>
    <w:rsid w:val="00BF2898"/>
    <w:rsid w:val="00C3388D"/>
    <w:rsid w:val="00CE62D3"/>
    <w:rsid w:val="00CF072D"/>
    <w:rsid w:val="00D0162B"/>
    <w:rsid w:val="00D941C1"/>
    <w:rsid w:val="00E7612A"/>
    <w:rsid w:val="00E936B7"/>
    <w:rsid w:val="00F02D97"/>
    <w:rsid w:val="00F1204C"/>
    <w:rsid w:val="00F22835"/>
    <w:rsid w:val="00F22DE3"/>
    <w:rsid w:val="00F654A8"/>
    <w:rsid w:val="00F7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29F5"/>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4F7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2022-04-21T20:43:00Z</dcterms:created>
  <dcterms:modified xsi:type="dcterms:W3CDTF">2022-04-21T20:43:00Z</dcterms:modified>
</cp:coreProperties>
</file>