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2AC" w:rsidRPr="00DC6A72" w:rsidRDefault="004F1756" w:rsidP="00DC6A72">
      <w:pPr>
        <w:jc w:val="center"/>
        <w:rPr>
          <w:rFonts w:ascii="Times New Roman" w:hAnsi="Times New Roman" w:cs="Times New Roman"/>
        </w:rPr>
      </w:pPr>
      <w:r>
        <w:rPr>
          <w:rFonts w:ascii="Times New Roman" w:hAnsi="Times New Roman" w:cs="Times New Roman"/>
        </w:rPr>
        <w:t>HUMANITIES</w:t>
      </w:r>
    </w:p>
    <w:tbl>
      <w:tblPr>
        <w:tblStyle w:val="TableGrid"/>
        <w:tblW w:w="0" w:type="auto"/>
        <w:tblLook w:val="04A0" w:firstRow="1" w:lastRow="0" w:firstColumn="1" w:lastColumn="0" w:noHBand="0" w:noVBand="1"/>
      </w:tblPr>
      <w:tblGrid>
        <w:gridCol w:w="1520"/>
        <w:gridCol w:w="6343"/>
        <w:gridCol w:w="816"/>
        <w:gridCol w:w="4281"/>
      </w:tblGrid>
      <w:tr w:rsidR="00D77199" w:rsidTr="009B0B67">
        <w:trPr>
          <w:trHeight w:val="576"/>
        </w:trPr>
        <w:tc>
          <w:tcPr>
            <w:tcW w:w="1525" w:type="dxa"/>
            <w:tcBorders>
              <w:top w:val="nil"/>
              <w:left w:val="nil"/>
              <w:bottom w:val="nil"/>
              <w:right w:val="nil"/>
            </w:tcBorders>
            <w:vAlign w:val="bottom"/>
          </w:tcPr>
          <w:p w:rsidR="00D77199" w:rsidRDefault="00D77199" w:rsidP="009B0B67">
            <w:pPr>
              <w:rPr>
                <w:rFonts w:ascii="Times New Roman" w:hAnsi="Times New Roman" w:cs="Times New Roman"/>
              </w:rPr>
            </w:pPr>
            <w:r>
              <w:rPr>
                <w:rFonts w:ascii="Times New Roman" w:hAnsi="Times New Roman" w:cs="Times New Roman"/>
              </w:rPr>
              <w:t>Course:</w:t>
            </w:r>
          </w:p>
        </w:tc>
        <w:tc>
          <w:tcPr>
            <w:tcW w:w="6665" w:type="dxa"/>
            <w:tcBorders>
              <w:top w:val="nil"/>
              <w:left w:val="nil"/>
              <w:right w:val="nil"/>
            </w:tcBorders>
            <w:vAlign w:val="bottom"/>
          </w:tcPr>
          <w:p w:rsidR="00D77199" w:rsidRDefault="00D77199" w:rsidP="009B0B67">
            <w:pPr>
              <w:rPr>
                <w:rFonts w:ascii="Times New Roman" w:hAnsi="Times New Roman" w:cs="Times New Roman"/>
              </w:rPr>
            </w:pPr>
          </w:p>
        </w:tc>
        <w:tc>
          <w:tcPr>
            <w:tcW w:w="265" w:type="dxa"/>
            <w:tcBorders>
              <w:top w:val="nil"/>
              <w:left w:val="nil"/>
              <w:bottom w:val="nil"/>
              <w:right w:val="nil"/>
            </w:tcBorders>
            <w:vAlign w:val="bottom"/>
          </w:tcPr>
          <w:p w:rsidR="00D77199" w:rsidRDefault="00D77199" w:rsidP="009B0B67">
            <w:pPr>
              <w:rPr>
                <w:rFonts w:ascii="Times New Roman" w:hAnsi="Times New Roman" w:cs="Times New Roman"/>
              </w:rPr>
            </w:pPr>
            <w:r>
              <w:rPr>
                <w:rFonts w:ascii="Times New Roman" w:hAnsi="Times New Roman" w:cs="Times New Roman"/>
              </w:rPr>
              <w:t>Date:</w:t>
            </w:r>
          </w:p>
        </w:tc>
        <w:tc>
          <w:tcPr>
            <w:tcW w:w="4495" w:type="dxa"/>
            <w:tcBorders>
              <w:top w:val="nil"/>
              <w:left w:val="nil"/>
              <w:right w:val="nil"/>
            </w:tcBorders>
            <w:vAlign w:val="bottom"/>
          </w:tcPr>
          <w:p w:rsidR="00D77199" w:rsidRDefault="00D77199" w:rsidP="009B0B67">
            <w:pPr>
              <w:rPr>
                <w:rFonts w:ascii="Times New Roman" w:hAnsi="Times New Roman" w:cs="Times New Roman"/>
              </w:rPr>
            </w:pPr>
          </w:p>
        </w:tc>
      </w:tr>
      <w:tr w:rsidR="00D77199" w:rsidTr="009B0B67">
        <w:trPr>
          <w:trHeight w:val="576"/>
        </w:trPr>
        <w:tc>
          <w:tcPr>
            <w:tcW w:w="1525" w:type="dxa"/>
            <w:tcBorders>
              <w:top w:val="nil"/>
              <w:left w:val="nil"/>
              <w:bottom w:val="nil"/>
              <w:right w:val="nil"/>
            </w:tcBorders>
            <w:vAlign w:val="bottom"/>
          </w:tcPr>
          <w:p w:rsidR="00D77199" w:rsidRDefault="00D77199" w:rsidP="009B0B67">
            <w:pPr>
              <w:rPr>
                <w:rFonts w:ascii="Times New Roman" w:hAnsi="Times New Roman" w:cs="Times New Roman"/>
              </w:rPr>
            </w:pPr>
            <w:r>
              <w:rPr>
                <w:rFonts w:ascii="Times New Roman" w:hAnsi="Times New Roman" w:cs="Times New Roman"/>
              </w:rPr>
              <w:t>Department:</w:t>
            </w:r>
          </w:p>
        </w:tc>
        <w:tc>
          <w:tcPr>
            <w:tcW w:w="6665" w:type="dxa"/>
            <w:tcBorders>
              <w:left w:val="nil"/>
              <w:right w:val="nil"/>
            </w:tcBorders>
            <w:vAlign w:val="bottom"/>
          </w:tcPr>
          <w:p w:rsidR="00D77199" w:rsidRDefault="00D77199" w:rsidP="009B0B67">
            <w:pPr>
              <w:rPr>
                <w:rFonts w:ascii="Times New Roman" w:hAnsi="Times New Roman" w:cs="Times New Roman"/>
              </w:rPr>
            </w:pPr>
          </w:p>
        </w:tc>
        <w:tc>
          <w:tcPr>
            <w:tcW w:w="265" w:type="dxa"/>
            <w:tcBorders>
              <w:top w:val="nil"/>
              <w:left w:val="nil"/>
              <w:bottom w:val="nil"/>
              <w:right w:val="nil"/>
            </w:tcBorders>
            <w:vAlign w:val="bottom"/>
          </w:tcPr>
          <w:p w:rsidR="00D77199" w:rsidRDefault="00D77199" w:rsidP="009B0B67">
            <w:pPr>
              <w:rPr>
                <w:rFonts w:ascii="Times New Roman" w:hAnsi="Times New Roman" w:cs="Times New Roman"/>
              </w:rPr>
            </w:pPr>
            <w:r>
              <w:rPr>
                <w:rFonts w:ascii="Times New Roman" w:hAnsi="Times New Roman" w:cs="Times New Roman"/>
              </w:rPr>
              <w:t>Chair:</w:t>
            </w:r>
          </w:p>
        </w:tc>
        <w:tc>
          <w:tcPr>
            <w:tcW w:w="4495" w:type="dxa"/>
            <w:tcBorders>
              <w:left w:val="nil"/>
              <w:right w:val="nil"/>
            </w:tcBorders>
            <w:vAlign w:val="bottom"/>
          </w:tcPr>
          <w:p w:rsidR="00D77199" w:rsidRDefault="00D77199" w:rsidP="009B0B67">
            <w:pPr>
              <w:rPr>
                <w:rFonts w:ascii="Times New Roman" w:hAnsi="Times New Roman" w:cs="Times New Roman"/>
              </w:rPr>
            </w:pPr>
          </w:p>
        </w:tc>
      </w:tr>
    </w:tbl>
    <w:p w:rsidR="00DC6A72" w:rsidRPr="00DC6A72" w:rsidRDefault="00DC6A72" w:rsidP="00DC6A72">
      <w:pPr>
        <w:rPr>
          <w:rFonts w:ascii="Times New Roman" w:hAnsi="Times New Roman" w:cs="Times New Roman"/>
        </w:rPr>
      </w:pPr>
    </w:p>
    <w:p w:rsidR="00D77199" w:rsidRPr="00D77199" w:rsidRDefault="004F1756" w:rsidP="00D77199">
      <w:pPr>
        <w:pStyle w:val="Default"/>
        <w:rPr>
          <w:rFonts w:ascii="Times New Roman" w:hAnsi="Times New Roman" w:cs="Times New Roman"/>
          <w:i/>
          <w:color w:val="211D1E"/>
          <w:sz w:val="22"/>
          <w:szCs w:val="22"/>
        </w:rPr>
      </w:pPr>
      <w:r w:rsidRPr="00D77199">
        <w:rPr>
          <w:rFonts w:ascii="Times New Roman" w:eastAsia="Times New Roman" w:hAnsi="Times New Roman" w:cs="Times New Roman"/>
          <w:b/>
          <w:bCs/>
          <w:sz w:val="22"/>
          <w:szCs w:val="22"/>
          <w:bdr w:val="none" w:sz="0" w:space="0" w:color="auto" w:frame="1"/>
        </w:rPr>
        <w:t>Curriculum Goals:</w:t>
      </w:r>
      <w:r w:rsidRPr="00D77199">
        <w:rPr>
          <w:rFonts w:ascii="Times New Roman" w:eastAsia="Times New Roman" w:hAnsi="Times New Roman" w:cs="Times New Roman"/>
          <w:sz w:val="22"/>
          <w:szCs w:val="22"/>
        </w:rPr>
        <w:t> </w:t>
      </w:r>
      <w:r w:rsidR="00D77199" w:rsidRPr="00D77199">
        <w:rPr>
          <w:rFonts w:ascii="Times New Roman" w:hAnsi="Times New Roman" w:cs="Times New Roman"/>
          <w:color w:val="221E1F"/>
          <w:sz w:val="22"/>
          <w:szCs w:val="22"/>
        </w:rPr>
        <w:t>Studying the Humanities develops responsible citizens by teaching students to recognize, interpret, and evalu</w:t>
      </w:r>
      <w:r w:rsidR="00D77199" w:rsidRPr="00D77199">
        <w:rPr>
          <w:rFonts w:ascii="Times New Roman" w:hAnsi="Times New Roman" w:cs="Times New Roman"/>
          <w:color w:val="221E1F"/>
          <w:sz w:val="22"/>
          <w:szCs w:val="22"/>
        </w:rPr>
        <w:softHyphen/>
        <w:t xml:space="preserve">ate human action, thought, and expression. Courses in this area allow students to compare their thinking with that of persons from other regions and times, thus enabling them better to understand themselves, their society, and their world. </w:t>
      </w:r>
      <w:r w:rsidR="00D77199" w:rsidRPr="00D77199">
        <w:rPr>
          <w:rFonts w:ascii="Times New Roman" w:hAnsi="Times New Roman" w:cs="Times New Roman"/>
          <w:i/>
          <w:color w:val="211D1E"/>
          <w:sz w:val="22"/>
          <w:szCs w:val="22"/>
        </w:rPr>
        <w:t>All courses in Humanities must measure all of these learning outcomes.</w:t>
      </w:r>
    </w:p>
    <w:p w:rsidR="00DC6A72" w:rsidRPr="00DC6A72" w:rsidRDefault="00DC6A72" w:rsidP="00847D8F">
      <w:pPr>
        <w:textAlignment w:val="baseline"/>
        <w:rPr>
          <w:rFonts w:ascii="Times New Roman" w:hAnsi="Times New Roman" w:cs="Times New Roman"/>
        </w:rPr>
      </w:pPr>
      <w:bookmarkStart w:id="0" w:name="_GoBack"/>
      <w:bookmarkEnd w:id="0"/>
    </w:p>
    <w:tbl>
      <w:tblPr>
        <w:tblStyle w:val="TableGrid"/>
        <w:tblW w:w="0" w:type="auto"/>
        <w:tblLook w:val="04A0" w:firstRow="1" w:lastRow="0" w:firstColumn="1" w:lastColumn="0" w:noHBand="0" w:noVBand="1"/>
      </w:tblPr>
      <w:tblGrid>
        <w:gridCol w:w="2392"/>
        <w:gridCol w:w="1631"/>
        <w:gridCol w:w="1924"/>
        <w:gridCol w:w="2058"/>
        <w:gridCol w:w="1890"/>
        <w:gridCol w:w="3055"/>
      </w:tblGrid>
      <w:tr w:rsidR="00DC6A72" w:rsidRPr="00DC6A72" w:rsidTr="00DF777C">
        <w:trPr>
          <w:tblHeader/>
        </w:trPr>
        <w:tc>
          <w:tcPr>
            <w:tcW w:w="2392" w:type="dxa"/>
            <w:shd w:val="clear" w:color="auto" w:fill="DEEAF6" w:themeFill="accent1" w:themeFillTint="33"/>
            <w:vAlign w:val="center"/>
          </w:tcPr>
          <w:p w:rsidR="00DC6A72" w:rsidRPr="00DC6A72" w:rsidRDefault="00DC6A72" w:rsidP="00DC6A72">
            <w:pPr>
              <w:jc w:val="center"/>
              <w:rPr>
                <w:rFonts w:ascii="Times New Roman" w:hAnsi="Times New Roman" w:cs="Times New Roman"/>
                <w:b/>
              </w:rPr>
            </w:pPr>
            <w:r w:rsidRPr="00DC6A72">
              <w:rPr>
                <w:rFonts w:ascii="Times New Roman" w:hAnsi="Times New Roman" w:cs="Times New Roman"/>
                <w:b/>
              </w:rPr>
              <w:t>Student Learning Outcome</w:t>
            </w:r>
            <w:r>
              <w:rPr>
                <w:rFonts w:ascii="Times New Roman" w:hAnsi="Times New Roman" w:cs="Times New Roman"/>
                <w:b/>
              </w:rPr>
              <w:t xml:space="preserve"> </w:t>
            </w:r>
          </w:p>
        </w:tc>
        <w:tc>
          <w:tcPr>
            <w:tcW w:w="1631" w:type="dxa"/>
            <w:shd w:val="clear" w:color="auto" w:fill="DEEAF6" w:themeFill="accent1" w:themeFillTint="33"/>
            <w:vAlign w:val="center"/>
          </w:tcPr>
          <w:p w:rsidR="00DC6A72" w:rsidRPr="00DC6A72" w:rsidRDefault="00DC6A72" w:rsidP="00DC6A72">
            <w:pPr>
              <w:jc w:val="center"/>
              <w:rPr>
                <w:rFonts w:ascii="Times New Roman" w:hAnsi="Times New Roman" w:cs="Times New Roman"/>
                <w:b/>
              </w:rPr>
            </w:pPr>
            <w:r w:rsidRPr="00DC6A72">
              <w:rPr>
                <w:rFonts w:ascii="Times New Roman" w:hAnsi="Times New Roman" w:cs="Times New Roman"/>
                <w:b/>
              </w:rPr>
              <w:t>Assessment Cycle</w:t>
            </w:r>
          </w:p>
        </w:tc>
        <w:tc>
          <w:tcPr>
            <w:tcW w:w="1924" w:type="dxa"/>
            <w:shd w:val="clear" w:color="auto" w:fill="DEEAF6" w:themeFill="accent1" w:themeFillTint="33"/>
            <w:vAlign w:val="center"/>
          </w:tcPr>
          <w:p w:rsidR="00DC6A72" w:rsidRPr="00DC6A72" w:rsidRDefault="00DC6A72" w:rsidP="00DC6A72">
            <w:pPr>
              <w:jc w:val="center"/>
              <w:rPr>
                <w:rFonts w:ascii="Times New Roman" w:hAnsi="Times New Roman" w:cs="Times New Roman"/>
                <w:b/>
              </w:rPr>
            </w:pPr>
            <w:r w:rsidRPr="00DC6A72">
              <w:rPr>
                <w:rFonts w:ascii="Times New Roman" w:hAnsi="Times New Roman" w:cs="Times New Roman"/>
                <w:b/>
              </w:rPr>
              <w:t>Assessment(s)</w:t>
            </w:r>
          </w:p>
        </w:tc>
        <w:tc>
          <w:tcPr>
            <w:tcW w:w="2058" w:type="dxa"/>
            <w:shd w:val="clear" w:color="auto" w:fill="DEEAF6" w:themeFill="accent1" w:themeFillTint="33"/>
            <w:vAlign w:val="center"/>
          </w:tcPr>
          <w:p w:rsidR="00DC6A72" w:rsidRPr="00DC6A72" w:rsidRDefault="00DC6A72" w:rsidP="00DC6A72">
            <w:pPr>
              <w:jc w:val="center"/>
              <w:rPr>
                <w:rFonts w:ascii="Times New Roman" w:hAnsi="Times New Roman" w:cs="Times New Roman"/>
                <w:b/>
              </w:rPr>
            </w:pPr>
            <w:r w:rsidRPr="00DC6A72">
              <w:rPr>
                <w:rFonts w:ascii="Times New Roman" w:hAnsi="Times New Roman" w:cs="Times New Roman"/>
                <w:b/>
              </w:rPr>
              <w:t>Benchmark(s)</w:t>
            </w:r>
          </w:p>
        </w:tc>
        <w:tc>
          <w:tcPr>
            <w:tcW w:w="1890" w:type="dxa"/>
            <w:shd w:val="clear" w:color="auto" w:fill="DEEAF6" w:themeFill="accent1" w:themeFillTint="33"/>
            <w:vAlign w:val="center"/>
          </w:tcPr>
          <w:p w:rsidR="00DC6A72" w:rsidRPr="00DC6A72" w:rsidRDefault="00DC6A72" w:rsidP="00DC6A72">
            <w:pPr>
              <w:jc w:val="center"/>
              <w:rPr>
                <w:rFonts w:ascii="Times New Roman" w:hAnsi="Times New Roman" w:cs="Times New Roman"/>
                <w:b/>
              </w:rPr>
            </w:pPr>
            <w:r w:rsidRPr="00DC6A72">
              <w:rPr>
                <w:rFonts w:ascii="Times New Roman" w:hAnsi="Times New Roman" w:cs="Times New Roman"/>
                <w:b/>
              </w:rPr>
              <w:t>Data Results</w:t>
            </w:r>
          </w:p>
        </w:tc>
        <w:tc>
          <w:tcPr>
            <w:tcW w:w="3055" w:type="dxa"/>
            <w:shd w:val="clear" w:color="auto" w:fill="DEEAF6" w:themeFill="accent1" w:themeFillTint="33"/>
            <w:vAlign w:val="center"/>
          </w:tcPr>
          <w:p w:rsidR="00DC6A72" w:rsidRPr="00DC6A72" w:rsidRDefault="00DC6A72" w:rsidP="00DC6A72">
            <w:pPr>
              <w:jc w:val="center"/>
              <w:rPr>
                <w:rFonts w:ascii="Times New Roman" w:hAnsi="Times New Roman" w:cs="Times New Roman"/>
                <w:b/>
              </w:rPr>
            </w:pPr>
            <w:r w:rsidRPr="00DC6A72">
              <w:rPr>
                <w:rFonts w:ascii="Times New Roman" w:hAnsi="Times New Roman" w:cs="Times New Roman"/>
                <w:b/>
              </w:rPr>
              <w:t>Decision/Improvement Made</w:t>
            </w:r>
          </w:p>
        </w:tc>
      </w:tr>
      <w:tr w:rsidR="00D77199" w:rsidRPr="00DC6A72" w:rsidTr="00D77199">
        <w:trPr>
          <w:trHeight w:val="432"/>
        </w:trPr>
        <w:tc>
          <w:tcPr>
            <w:tcW w:w="2392" w:type="dxa"/>
            <w:vAlign w:val="center"/>
          </w:tcPr>
          <w:p w:rsidR="00D77199" w:rsidRPr="00D77199" w:rsidRDefault="00D77199" w:rsidP="000C4BBE">
            <w:pPr>
              <w:ind w:left="157" w:hanging="157"/>
              <w:rPr>
                <w:rFonts w:ascii="Times New Roman" w:eastAsia="Times New Roman" w:hAnsi="Times New Roman" w:cs="Times New Roman"/>
              </w:rPr>
            </w:pPr>
            <w:r w:rsidRPr="00D77199">
              <w:rPr>
                <w:rFonts w:ascii="Times New Roman" w:hAnsi="Times New Roman" w:cs="Times New Roman"/>
                <w:color w:val="221E1F"/>
              </w:rPr>
              <w:t>1. Students will analyze major primary sources of the humanities.</w:t>
            </w:r>
          </w:p>
        </w:tc>
        <w:tc>
          <w:tcPr>
            <w:tcW w:w="1631" w:type="dxa"/>
            <w:vAlign w:val="center"/>
          </w:tcPr>
          <w:p w:rsidR="00D77199" w:rsidRPr="00DC6A72" w:rsidRDefault="00D77199" w:rsidP="00DC6A72">
            <w:pPr>
              <w:jc w:val="center"/>
              <w:rPr>
                <w:rFonts w:ascii="Times New Roman" w:hAnsi="Times New Roman" w:cs="Times New Roman"/>
              </w:rPr>
            </w:pPr>
          </w:p>
        </w:tc>
        <w:tc>
          <w:tcPr>
            <w:tcW w:w="1924" w:type="dxa"/>
            <w:vAlign w:val="center"/>
          </w:tcPr>
          <w:p w:rsidR="00D77199" w:rsidRPr="00DC6A72" w:rsidRDefault="00D77199" w:rsidP="00DC6A72">
            <w:pPr>
              <w:jc w:val="center"/>
              <w:rPr>
                <w:rFonts w:ascii="Times New Roman" w:hAnsi="Times New Roman" w:cs="Times New Roman"/>
              </w:rPr>
            </w:pPr>
          </w:p>
        </w:tc>
        <w:tc>
          <w:tcPr>
            <w:tcW w:w="2058" w:type="dxa"/>
            <w:vAlign w:val="center"/>
          </w:tcPr>
          <w:p w:rsidR="00D77199" w:rsidRPr="00DC6A72" w:rsidRDefault="00D77199" w:rsidP="00DC6A72">
            <w:pPr>
              <w:jc w:val="center"/>
              <w:rPr>
                <w:rFonts w:ascii="Times New Roman" w:hAnsi="Times New Roman" w:cs="Times New Roman"/>
              </w:rPr>
            </w:pPr>
          </w:p>
        </w:tc>
        <w:tc>
          <w:tcPr>
            <w:tcW w:w="1890" w:type="dxa"/>
            <w:vAlign w:val="center"/>
          </w:tcPr>
          <w:p w:rsidR="00D77199" w:rsidRPr="00DC6A72" w:rsidRDefault="00D77199" w:rsidP="00DC6A72">
            <w:pPr>
              <w:jc w:val="center"/>
              <w:rPr>
                <w:rFonts w:ascii="Times New Roman" w:hAnsi="Times New Roman" w:cs="Times New Roman"/>
              </w:rPr>
            </w:pPr>
          </w:p>
        </w:tc>
        <w:tc>
          <w:tcPr>
            <w:tcW w:w="3055" w:type="dxa"/>
            <w:vAlign w:val="center"/>
          </w:tcPr>
          <w:p w:rsidR="00D77199" w:rsidRPr="00DC6A72" w:rsidRDefault="00D77199" w:rsidP="00DC6A72">
            <w:pPr>
              <w:jc w:val="center"/>
              <w:rPr>
                <w:rFonts w:ascii="Times New Roman" w:hAnsi="Times New Roman" w:cs="Times New Roman"/>
              </w:rPr>
            </w:pPr>
          </w:p>
        </w:tc>
      </w:tr>
      <w:tr w:rsidR="00D77199" w:rsidRPr="00DC6A72" w:rsidTr="00D77199">
        <w:trPr>
          <w:trHeight w:val="432"/>
        </w:trPr>
        <w:tc>
          <w:tcPr>
            <w:tcW w:w="2392" w:type="dxa"/>
            <w:vAlign w:val="center"/>
          </w:tcPr>
          <w:p w:rsidR="00D77199" w:rsidRPr="00D77199" w:rsidRDefault="00D77199" w:rsidP="000C4BBE">
            <w:pPr>
              <w:ind w:left="157" w:hanging="157"/>
              <w:rPr>
                <w:rFonts w:ascii="Times New Roman" w:eastAsia="Times New Roman" w:hAnsi="Times New Roman" w:cs="Times New Roman"/>
              </w:rPr>
            </w:pPr>
            <w:r w:rsidRPr="00D77199">
              <w:rPr>
                <w:rFonts w:ascii="Times New Roman" w:hAnsi="Times New Roman" w:cs="Times New Roman"/>
                <w:color w:val="221E1F"/>
              </w:rPr>
              <w:t>2. Students will examine the diversity of human experience in various humanistic media.</w:t>
            </w:r>
          </w:p>
        </w:tc>
        <w:tc>
          <w:tcPr>
            <w:tcW w:w="1631" w:type="dxa"/>
            <w:vAlign w:val="center"/>
          </w:tcPr>
          <w:p w:rsidR="00D77199" w:rsidRPr="00DC6A72" w:rsidRDefault="00D77199" w:rsidP="00DC6A72">
            <w:pPr>
              <w:jc w:val="center"/>
              <w:rPr>
                <w:rFonts w:ascii="Times New Roman" w:hAnsi="Times New Roman" w:cs="Times New Roman"/>
              </w:rPr>
            </w:pPr>
          </w:p>
        </w:tc>
        <w:tc>
          <w:tcPr>
            <w:tcW w:w="1924" w:type="dxa"/>
            <w:vAlign w:val="center"/>
          </w:tcPr>
          <w:p w:rsidR="00D77199" w:rsidRPr="00DC6A72" w:rsidRDefault="00D77199" w:rsidP="00DC6A72">
            <w:pPr>
              <w:jc w:val="center"/>
              <w:rPr>
                <w:rFonts w:ascii="Times New Roman" w:hAnsi="Times New Roman" w:cs="Times New Roman"/>
              </w:rPr>
            </w:pPr>
          </w:p>
        </w:tc>
        <w:tc>
          <w:tcPr>
            <w:tcW w:w="2058" w:type="dxa"/>
            <w:vAlign w:val="center"/>
          </w:tcPr>
          <w:p w:rsidR="00D77199" w:rsidRPr="00DC6A72" w:rsidRDefault="00D77199" w:rsidP="00DC6A72">
            <w:pPr>
              <w:jc w:val="center"/>
              <w:rPr>
                <w:rFonts w:ascii="Times New Roman" w:hAnsi="Times New Roman" w:cs="Times New Roman"/>
              </w:rPr>
            </w:pPr>
          </w:p>
        </w:tc>
        <w:tc>
          <w:tcPr>
            <w:tcW w:w="1890" w:type="dxa"/>
            <w:vAlign w:val="center"/>
          </w:tcPr>
          <w:p w:rsidR="00D77199" w:rsidRPr="00DC6A72" w:rsidRDefault="00D77199" w:rsidP="00DC6A72">
            <w:pPr>
              <w:jc w:val="center"/>
              <w:rPr>
                <w:rFonts w:ascii="Times New Roman" w:hAnsi="Times New Roman" w:cs="Times New Roman"/>
              </w:rPr>
            </w:pPr>
          </w:p>
        </w:tc>
        <w:tc>
          <w:tcPr>
            <w:tcW w:w="3055" w:type="dxa"/>
            <w:vAlign w:val="center"/>
          </w:tcPr>
          <w:p w:rsidR="00D77199" w:rsidRPr="00DC6A72" w:rsidRDefault="00D77199" w:rsidP="00DC6A72">
            <w:pPr>
              <w:jc w:val="center"/>
              <w:rPr>
                <w:rFonts w:ascii="Times New Roman" w:hAnsi="Times New Roman" w:cs="Times New Roman"/>
              </w:rPr>
            </w:pPr>
          </w:p>
        </w:tc>
      </w:tr>
      <w:tr w:rsidR="00D77199" w:rsidRPr="00DC6A72" w:rsidTr="00D77199">
        <w:trPr>
          <w:trHeight w:val="432"/>
        </w:trPr>
        <w:tc>
          <w:tcPr>
            <w:tcW w:w="2392" w:type="dxa"/>
            <w:vAlign w:val="center"/>
          </w:tcPr>
          <w:p w:rsidR="00D77199" w:rsidRPr="00D77199" w:rsidRDefault="00D77199" w:rsidP="000C4BBE">
            <w:pPr>
              <w:ind w:left="157" w:hanging="157"/>
              <w:rPr>
                <w:rFonts w:ascii="Times New Roman" w:eastAsia="Times New Roman" w:hAnsi="Times New Roman" w:cs="Times New Roman"/>
              </w:rPr>
            </w:pPr>
            <w:r w:rsidRPr="00D77199">
              <w:rPr>
                <w:rFonts w:ascii="Times New Roman" w:hAnsi="Times New Roman" w:cs="Times New Roman"/>
                <w:color w:val="221E1F"/>
              </w:rPr>
              <w:t>3. Students will recognize the continuity and change within the human experience as understood in the humanities.</w:t>
            </w:r>
          </w:p>
        </w:tc>
        <w:tc>
          <w:tcPr>
            <w:tcW w:w="1631" w:type="dxa"/>
            <w:vAlign w:val="center"/>
          </w:tcPr>
          <w:p w:rsidR="00D77199" w:rsidRPr="00DC6A72" w:rsidRDefault="00D77199" w:rsidP="00DC6A72">
            <w:pPr>
              <w:jc w:val="center"/>
              <w:rPr>
                <w:rFonts w:ascii="Times New Roman" w:hAnsi="Times New Roman" w:cs="Times New Roman"/>
              </w:rPr>
            </w:pPr>
          </w:p>
        </w:tc>
        <w:tc>
          <w:tcPr>
            <w:tcW w:w="1924" w:type="dxa"/>
            <w:vAlign w:val="center"/>
          </w:tcPr>
          <w:p w:rsidR="00D77199" w:rsidRPr="00DC6A72" w:rsidRDefault="00D77199" w:rsidP="00DC6A72">
            <w:pPr>
              <w:jc w:val="center"/>
              <w:rPr>
                <w:rFonts w:ascii="Times New Roman" w:hAnsi="Times New Roman" w:cs="Times New Roman"/>
              </w:rPr>
            </w:pPr>
          </w:p>
        </w:tc>
        <w:tc>
          <w:tcPr>
            <w:tcW w:w="2058" w:type="dxa"/>
            <w:vAlign w:val="center"/>
          </w:tcPr>
          <w:p w:rsidR="00D77199" w:rsidRPr="00DC6A72" w:rsidRDefault="00D77199" w:rsidP="00DC6A72">
            <w:pPr>
              <w:jc w:val="center"/>
              <w:rPr>
                <w:rFonts w:ascii="Times New Roman" w:hAnsi="Times New Roman" w:cs="Times New Roman"/>
              </w:rPr>
            </w:pPr>
          </w:p>
        </w:tc>
        <w:tc>
          <w:tcPr>
            <w:tcW w:w="1890" w:type="dxa"/>
            <w:vAlign w:val="center"/>
          </w:tcPr>
          <w:p w:rsidR="00D77199" w:rsidRPr="00DC6A72" w:rsidRDefault="00D77199" w:rsidP="00DC6A72">
            <w:pPr>
              <w:jc w:val="center"/>
              <w:rPr>
                <w:rFonts w:ascii="Times New Roman" w:hAnsi="Times New Roman" w:cs="Times New Roman"/>
              </w:rPr>
            </w:pPr>
          </w:p>
        </w:tc>
        <w:tc>
          <w:tcPr>
            <w:tcW w:w="3055" w:type="dxa"/>
            <w:vAlign w:val="center"/>
          </w:tcPr>
          <w:p w:rsidR="00D77199" w:rsidRPr="00DC6A72" w:rsidRDefault="00D77199" w:rsidP="00DC6A72">
            <w:pPr>
              <w:jc w:val="center"/>
              <w:rPr>
                <w:rFonts w:ascii="Times New Roman" w:hAnsi="Times New Roman" w:cs="Times New Roman"/>
              </w:rPr>
            </w:pPr>
          </w:p>
        </w:tc>
      </w:tr>
    </w:tbl>
    <w:p w:rsidR="00DC6A72" w:rsidRDefault="00DC6A72" w:rsidP="00DC6A72">
      <w:pPr>
        <w:rPr>
          <w:rFonts w:ascii="Times New Roman" w:hAnsi="Times New Roman" w:cs="Times New Roman"/>
        </w:rPr>
      </w:pPr>
    </w:p>
    <w:p w:rsidR="004A3DD7" w:rsidRPr="004A3DD7" w:rsidRDefault="004A3DD7" w:rsidP="004A3DD7">
      <w:pPr>
        <w:rPr>
          <w:rFonts w:ascii="Times New Roman" w:hAnsi="Times New Roman" w:cs="Times New Roman"/>
        </w:rPr>
      </w:pPr>
    </w:p>
    <w:sectPr w:rsidR="004A3DD7" w:rsidRPr="004A3DD7" w:rsidSect="00DC6A72">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10D" w:rsidRDefault="0080610D" w:rsidP="00D77199">
      <w:r>
        <w:separator/>
      </w:r>
    </w:p>
  </w:endnote>
  <w:endnote w:type="continuationSeparator" w:id="0">
    <w:p w:rsidR="0080610D" w:rsidRDefault="0080610D" w:rsidP="00D7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99" w:rsidRDefault="00D77199" w:rsidP="00D77199">
    <w:pPr>
      <w:pStyle w:val="Footer"/>
      <w:jc w:val="right"/>
      <w:rPr>
        <w:sz w:val="18"/>
        <w:szCs w:val="18"/>
      </w:rPr>
    </w:pPr>
  </w:p>
  <w:p w:rsidR="00D77199" w:rsidRDefault="00D77199" w:rsidP="00D77199">
    <w:pPr>
      <w:pStyle w:val="Footer"/>
      <w:jc w:val="right"/>
      <w:rPr>
        <w:sz w:val="18"/>
        <w:szCs w:val="18"/>
      </w:rPr>
    </w:pPr>
    <w:r>
      <w:rPr>
        <w:sz w:val="18"/>
        <w:szCs w:val="18"/>
      </w:rPr>
      <w:t>General Education Core Student Learning Outcomes Effective Fall 2018; Template Revised 2018</w:t>
    </w:r>
  </w:p>
  <w:p w:rsidR="00D77199" w:rsidRDefault="00D77199" w:rsidP="00D77199">
    <w:pPr>
      <w:pStyle w:val="Footer"/>
      <w:jc w:val="right"/>
      <w:rPr>
        <w:sz w:val="18"/>
        <w:szCs w:val="18"/>
      </w:rPr>
    </w:pPr>
  </w:p>
  <w:p w:rsidR="00D77199" w:rsidRPr="00185046" w:rsidRDefault="00D77199" w:rsidP="00D77199">
    <w:pPr>
      <w:pStyle w:val="Footer"/>
      <w:jc w:val="right"/>
      <w:rPr>
        <w:sz w:val="18"/>
        <w:szCs w:val="18"/>
      </w:rPr>
    </w:pPr>
    <w:r>
      <w:rPr>
        <w:sz w:val="18"/>
        <w:szCs w:val="18"/>
      </w:rPr>
      <w:t>Completed Template due to Assessment Coordinator by OCTOBER 1 each year</w:t>
    </w:r>
  </w:p>
  <w:p w:rsidR="00D77199" w:rsidRDefault="00D77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10D" w:rsidRDefault="0080610D" w:rsidP="00D77199">
      <w:r>
        <w:separator/>
      </w:r>
    </w:p>
  </w:footnote>
  <w:footnote w:type="continuationSeparator" w:id="0">
    <w:p w:rsidR="0080610D" w:rsidRDefault="0080610D" w:rsidP="00D77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513DA"/>
    <w:multiLevelType w:val="hybridMultilevel"/>
    <w:tmpl w:val="7A5A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25894"/>
    <w:multiLevelType w:val="multilevel"/>
    <w:tmpl w:val="D2E0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A72"/>
    <w:rsid w:val="000C4BBE"/>
    <w:rsid w:val="001455EB"/>
    <w:rsid w:val="00171DA8"/>
    <w:rsid w:val="00374616"/>
    <w:rsid w:val="004A3DD7"/>
    <w:rsid w:val="004F1756"/>
    <w:rsid w:val="004F5455"/>
    <w:rsid w:val="0063006B"/>
    <w:rsid w:val="00646D99"/>
    <w:rsid w:val="0080610D"/>
    <w:rsid w:val="00847D8F"/>
    <w:rsid w:val="008A32AC"/>
    <w:rsid w:val="009D673B"/>
    <w:rsid w:val="009E7F16"/>
    <w:rsid w:val="00C1763A"/>
    <w:rsid w:val="00CA6676"/>
    <w:rsid w:val="00D77199"/>
    <w:rsid w:val="00DC6A72"/>
    <w:rsid w:val="00D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026F"/>
  <w15:chartTrackingRefBased/>
  <w15:docId w15:val="{558C14DF-F778-40FF-B449-082BFE62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A72"/>
    <w:pPr>
      <w:ind w:left="720"/>
      <w:contextualSpacing/>
    </w:pPr>
  </w:style>
  <w:style w:type="paragraph" w:customStyle="1" w:styleId="Default">
    <w:name w:val="Default"/>
    <w:rsid w:val="00D77199"/>
    <w:pPr>
      <w:autoSpaceDE w:val="0"/>
      <w:autoSpaceDN w:val="0"/>
      <w:adjustRightInd w:val="0"/>
    </w:pPr>
    <w:rPr>
      <w:rFonts w:ascii="Garamond BookCondensed" w:hAnsi="Garamond BookCondensed" w:cs="Garamond BookCondensed"/>
      <w:color w:val="000000"/>
    </w:rPr>
  </w:style>
  <w:style w:type="paragraph" w:styleId="Header">
    <w:name w:val="header"/>
    <w:basedOn w:val="Normal"/>
    <w:link w:val="HeaderChar"/>
    <w:uiPriority w:val="99"/>
    <w:unhideWhenUsed/>
    <w:rsid w:val="00D77199"/>
    <w:pPr>
      <w:tabs>
        <w:tab w:val="center" w:pos="4680"/>
        <w:tab w:val="right" w:pos="9360"/>
      </w:tabs>
    </w:pPr>
  </w:style>
  <w:style w:type="character" w:customStyle="1" w:styleId="HeaderChar">
    <w:name w:val="Header Char"/>
    <w:basedOn w:val="DefaultParagraphFont"/>
    <w:link w:val="Header"/>
    <w:uiPriority w:val="99"/>
    <w:rsid w:val="00D77199"/>
  </w:style>
  <w:style w:type="paragraph" w:styleId="Footer">
    <w:name w:val="footer"/>
    <w:basedOn w:val="Normal"/>
    <w:link w:val="FooterChar"/>
    <w:uiPriority w:val="99"/>
    <w:unhideWhenUsed/>
    <w:rsid w:val="00D77199"/>
    <w:pPr>
      <w:tabs>
        <w:tab w:val="center" w:pos="4680"/>
        <w:tab w:val="right" w:pos="9360"/>
      </w:tabs>
    </w:pPr>
  </w:style>
  <w:style w:type="character" w:customStyle="1" w:styleId="FooterChar">
    <w:name w:val="Footer Char"/>
    <w:basedOn w:val="DefaultParagraphFont"/>
    <w:link w:val="Footer"/>
    <w:uiPriority w:val="99"/>
    <w:rsid w:val="00D77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Stephanie Kolitsch</cp:lastModifiedBy>
  <cp:revision>4</cp:revision>
  <dcterms:created xsi:type="dcterms:W3CDTF">2018-11-06T14:53:00Z</dcterms:created>
  <dcterms:modified xsi:type="dcterms:W3CDTF">2018-11-08T15:12:00Z</dcterms:modified>
</cp:coreProperties>
</file>